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:rsidR="005E577F" w:rsidRPr="005E577F" w:rsidRDefault="005E577F" w:rsidP="005E577F">
      <w:pPr>
        <w:pStyle w:val="a6"/>
        <w:numPr>
          <w:ilvl w:val="0"/>
          <w:numId w:val="2"/>
        </w:numPr>
        <w:rPr>
          <w:sz w:val="28"/>
          <w:szCs w:val="28"/>
        </w:rPr>
      </w:pPr>
      <w:bookmarkStart w:id="0" w:name="_GoBack"/>
      <w:bookmarkEnd w:id="0"/>
      <w:r w:rsidRPr="005E577F">
        <w:rPr>
          <w:sz w:val="28"/>
          <w:szCs w:val="28"/>
        </w:rPr>
        <w:t>Касационна жалба с вх.№1657/04.03.2025г.,  на Административен съд Плевен (вх.№601/11.03.2025г. на ОИК-Плевен) против Решение №761/24.02.2025г. на Административен съд–Плевен, постановено по  адм. дело №260/2024г. по описа на  Административен съд – Плевен</w:t>
      </w:r>
    </w:p>
    <w:p w:rsidR="001555D8" w:rsidRPr="00BB577A" w:rsidRDefault="001555D8" w:rsidP="001555D8">
      <w:pPr>
        <w:spacing w:before="240" w:after="240"/>
        <w:jc w:val="both"/>
        <w:rPr>
          <w:b/>
          <w:sz w:val="22"/>
          <w:szCs w:val="22"/>
        </w:rPr>
      </w:pPr>
    </w:p>
    <w:p w:rsidR="005C4C42" w:rsidRDefault="005C4C42" w:rsidP="001555D8">
      <w:pPr>
        <w:ind w:right="49"/>
        <w:jc w:val="both"/>
      </w:pPr>
    </w:p>
    <w:sectPr w:rsidR="005C4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EC"/>
    <w:rsid w:val="001555D8"/>
    <w:rsid w:val="004B14EC"/>
    <w:rsid w:val="004B1699"/>
    <w:rsid w:val="00545600"/>
    <w:rsid w:val="005C4C42"/>
    <w:rsid w:val="005E577F"/>
    <w:rsid w:val="005E57FC"/>
    <w:rsid w:val="00643185"/>
    <w:rsid w:val="00CF0DF1"/>
    <w:rsid w:val="00E8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2025-03-12T16:27:00Z</dcterms:created>
  <dcterms:modified xsi:type="dcterms:W3CDTF">2025-03-12T16:29:00Z</dcterms:modified>
</cp:coreProperties>
</file>